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20880" w14:textId="797624D7" w:rsidR="00CA6EC5" w:rsidRPr="00CA6EC5" w:rsidRDefault="00CA6EC5" w:rsidP="00CA6EC5">
      <w:pPr>
        <w:jc w:val="center"/>
      </w:pPr>
      <w:r>
        <w:t>CONVENÇÃO DE CONDOMÍNIO</w:t>
      </w:r>
    </w:p>
    <w:p w14:paraId="15BCE7BA" w14:textId="77777777" w:rsidR="00CA6EC5" w:rsidRPr="00CA6EC5" w:rsidRDefault="00CA6EC5" w:rsidP="00CA6EC5">
      <w:pPr>
        <w:jc w:val="both"/>
      </w:pPr>
    </w:p>
    <w:p w14:paraId="28E27505" w14:textId="77777777" w:rsidR="00CA6EC5" w:rsidRDefault="00CA6EC5" w:rsidP="00CA6EC5">
      <w:pPr>
        <w:jc w:val="both"/>
      </w:pPr>
      <w:r w:rsidRPr="00CA6EC5">
        <w:t xml:space="preserve">• 02 </w:t>
      </w:r>
      <w:r>
        <w:t>(duas) v</w:t>
      </w:r>
      <w:r w:rsidRPr="00CA6EC5">
        <w:t>ias da Convenção de Condomínio com no mínimo 2/3 (</w:t>
      </w:r>
      <w:r>
        <w:t>d</w:t>
      </w:r>
      <w:r w:rsidRPr="00CA6EC5">
        <w:t>ois terços) das assinaturas dos proprietários com firma reconhecida. (1 via original e 1 via cópia autenticada)</w:t>
      </w:r>
      <w:r>
        <w:t>;</w:t>
      </w:r>
    </w:p>
    <w:p w14:paraId="168E0E30" w14:textId="54076E45" w:rsidR="00CA6EC5" w:rsidRDefault="00CA6EC5" w:rsidP="00CA6EC5">
      <w:pPr>
        <w:jc w:val="both"/>
      </w:pPr>
      <w:r w:rsidRPr="00CA6EC5">
        <w:t xml:space="preserve">Quando do registro da convenção de condomínio, na apuração do quórum necessário à sua aprovação ou alterações, considerar-se-ão apenas os nomes dos figurantes no registro como proprietários ou promitentes-compradores ou cessionários destes, presumindo-se que represente o casal, qualquer um dos cônjuges </w:t>
      </w:r>
      <w:r w:rsidRPr="00CA6EC5">
        <w:t>signatários</w:t>
      </w:r>
      <w:r>
        <w:t xml:space="preserve"> (art. 1.150 do </w:t>
      </w:r>
      <w:r w:rsidRPr="00CA6EC5">
        <w:t>Provimento CGJ/CCI nº 15/2023</w:t>
      </w:r>
      <w:r>
        <w:t>)</w:t>
      </w:r>
      <w:r w:rsidRPr="00CA6EC5">
        <w:t>.</w:t>
      </w:r>
    </w:p>
    <w:p w14:paraId="363CF622" w14:textId="6EADA489" w:rsidR="00CA6EC5" w:rsidRDefault="00CA6EC5" w:rsidP="00CA6EC5">
      <w:pPr>
        <w:jc w:val="both"/>
      </w:pPr>
      <w:r w:rsidRPr="00CA6EC5">
        <w:br/>
        <w:t>Quanto aos requisitos da convenção, confira-se o arts.1</w:t>
      </w:r>
      <w:r>
        <w:t>.148 e art. 1.151</w:t>
      </w:r>
      <w:r w:rsidRPr="00CA6EC5">
        <w:t xml:space="preserve"> do Provimento CGJ/CCI nº 15/2023</w:t>
      </w:r>
      <w:r>
        <w:t xml:space="preserve"> e </w:t>
      </w:r>
      <w:proofErr w:type="spellStart"/>
      <w:r>
        <w:t>arts</w:t>
      </w:r>
      <w:proofErr w:type="spellEnd"/>
      <w:r>
        <w:t xml:space="preserve">. 1.332 e 1.334 do Código Civil e art. 9º, </w:t>
      </w:r>
      <w:r w:rsidRPr="00CA6EC5">
        <w:t>§</w:t>
      </w:r>
      <w:r>
        <w:t xml:space="preserve"> 3º da Lei 4.591/1964</w:t>
      </w:r>
      <w:r w:rsidRPr="00CA6EC5">
        <w:t>, que deverá conter cláusulas e requisitos essenciais para o seu registro</w:t>
      </w:r>
      <w:r>
        <w:t>.</w:t>
      </w:r>
    </w:p>
    <w:p w14:paraId="356DDEFB" w14:textId="543FFF96" w:rsidR="00CA6EC5" w:rsidRPr="00CA6EC5" w:rsidRDefault="00CA6EC5" w:rsidP="00CA6EC5">
      <w:pPr>
        <w:jc w:val="both"/>
      </w:pPr>
      <w:r w:rsidRPr="00CA6EC5">
        <w:t>• DAJE de prenotação, podendo ser obtido no site: https://eselo.tjba.jus.br/.</w:t>
      </w:r>
    </w:p>
    <w:p w14:paraId="53100F63" w14:textId="77777777" w:rsidR="00CA6EC5" w:rsidRPr="00CA6EC5" w:rsidRDefault="00CA6EC5" w:rsidP="00CA6EC5">
      <w:pPr>
        <w:jc w:val="both"/>
      </w:pPr>
      <w:r w:rsidRPr="00CA6EC5">
        <w:br/>
        <w:t>Observações importantes:</w:t>
      </w:r>
    </w:p>
    <w:p w14:paraId="2A2B1864" w14:textId="77777777" w:rsidR="00CA6EC5" w:rsidRPr="00CA6EC5" w:rsidRDefault="00CA6EC5" w:rsidP="00CA6EC5">
      <w:pPr>
        <w:jc w:val="both"/>
      </w:pPr>
      <w:r w:rsidRPr="00CA6EC5">
        <w:br/>
        <w:t>Observações:</w:t>
      </w:r>
      <w:r w:rsidRPr="00CA6EC5">
        <w:br/>
        <w:t>1. Informa-se que esta é a relação básica de documentos, que serão analisados conforme legislação em vigor, o que poderá resultar na necessidade de apresentação de novos documentos/</w:t>
      </w:r>
      <w:proofErr w:type="spellStart"/>
      <w:r w:rsidRPr="00CA6EC5">
        <w:t>DAJEs</w:t>
      </w:r>
      <w:proofErr w:type="spellEnd"/>
      <w:r w:rsidRPr="00CA6EC5">
        <w:t>, especialmente em função da qualificação ordenada no Art. 872 e Art. 1.023 do Provimento CGJ/CCI nº 15/2023</w:t>
      </w:r>
    </w:p>
    <w:p w14:paraId="52537C7C" w14:textId="77777777" w:rsidR="00CA6EC5" w:rsidRPr="00CA6EC5" w:rsidRDefault="00CA6EC5" w:rsidP="00CA6EC5">
      <w:pPr>
        <w:jc w:val="both"/>
      </w:pPr>
      <w:r w:rsidRPr="00CA6EC5">
        <w:t>2. Conforme diretriz § 4º do art. 786 do Provimento Conjunto CGJ/CCI nº 15/2023, a cobrança do(s) DAJE(s) necessário(s) à(s) prática do(s) ato(s) só será solicitada ao final, podendo ser complementado o DAJE de prenotação antecipado (para atingir averbação para prática do ato), e/ou serem solicitadas custas adicionais, conforme o caso concreto. Adicionalmente, na hipótese de ser cancelado o protocolo por vencimento da prenotação, o DAJE de prenotação será utilizado, selando-se a prenotação vencida.</w:t>
      </w:r>
    </w:p>
    <w:p w14:paraId="67DB77D0" w14:textId="77777777" w:rsidR="00CA6EC5" w:rsidRPr="00CA6EC5" w:rsidRDefault="00CA6EC5" w:rsidP="00CA6EC5">
      <w:pPr>
        <w:jc w:val="both"/>
      </w:pPr>
    </w:p>
    <w:p w14:paraId="71AAD239" w14:textId="4743B639" w:rsidR="0007752B" w:rsidRDefault="00CA6EC5" w:rsidP="00CA6EC5">
      <w:r w:rsidRPr="00CA6EC5">
        <w:t>Dispositivos Legais Pertinentes:</w:t>
      </w:r>
      <w:r w:rsidRPr="00CA6EC5">
        <w:br/>
        <w:t>Art.167, I, 17 da Lei.6015/73</w:t>
      </w:r>
      <w:r w:rsidRPr="00CA6EC5">
        <w:br/>
        <w:t xml:space="preserve">Art.9 e </w:t>
      </w:r>
      <w:proofErr w:type="spellStart"/>
      <w:r w:rsidRPr="00CA6EC5">
        <w:t>ss</w:t>
      </w:r>
      <w:proofErr w:type="spellEnd"/>
      <w:r w:rsidRPr="00CA6EC5">
        <w:t xml:space="preserve"> da Lei.4591/64</w:t>
      </w:r>
      <w:r w:rsidRPr="00CA6EC5">
        <w:br/>
        <w:t xml:space="preserve">Art.1.331 e </w:t>
      </w:r>
      <w:proofErr w:type="spellStart"/>
      <w:r w:rsidRPr="00CA6EC5">
        <w:t>ss</w:t>
      </w:r>
      <w:proofErr w:type="spellEnd"/>
      <w:r w:rsidRPr="00CA6EC5">
        <w:t xml:space="preserve"> da Lei. 10.406/2002</w:t>
      </w:r>
    </w:p>
    <w:sectPr w:rsidR="00077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EC5"/>
    <w:rsid w:val="00007542"/>
    <w:rsid w:val="0007752B"/>
    <w:rsid w:val="002B46DB"/>
    <w:rsid w:val="00CA6EC5"/>
    <w:rsid w:val="00D9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657A9"/>
  <w15:chartTrackingRefBased/>
  <w15:docId w15:val="{42E97F1D-8AF6-4F37-BC10-5295B863F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A6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A6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A6E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A6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A6E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A6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A6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A6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A6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A6E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A6E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A6E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A6E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A6EC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A6E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A6EC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A6E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A6E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A6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A6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A6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A6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A6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A6EC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A6EC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A6EC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A6E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A6EC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A6E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290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Magalhães</dc:creator>
  <cp:keywords/>
  <dc:description/>
  <cp:lastModifiedBy>Marcy Magalhães</cp:lastModifiedBy>
  <cp:revision>1</cp:revision>
  <dcterms:created xsi:type="dcterms:W3CDTF">2026-07-20T18:57:00Z</dcterms:created>
  <dcterms:modified xsi:type="dcterms:W3CDTF">2026-07-20T19:06:00Z</dcterms:modified>
</cp:coreProperties>
</file>